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6" w:rsidRDefault="002779E6" w:rsidP="002779E6">
      <w:pPr>
        <w:shd w:val="clear" w:color="auto" w:fill="FFFFFF"/>
        <w:spacing w:after="136" w:line="240" w:lineRule="auto"/>
        <w:jc w:val="right"/>
        <w:textAlignment w:val="baseline"/>
        <w:outlineLvl w:val="0"/>
        <w:rPr>
          <w:rFonts w:ascii="Arial" w:eastAsia="Times New Roman" w:hAnsi="Arial" w:cs="Arial"/>
          <w:noProof/>
          <w:color w:val="2E3192"/>
          <w:sz w:val="19"/>
          <w:szCs w:val="19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1pt;margin-top:11pt;width:162pt;height:54.9pt;z-index:251658240" filled="t">
            <v:imagedata r:id="rId5" o:title="" grayscale="t"/>
          </v:shape>
          <o:OLEObject Type="Embed" ProgID="Unknown" ShapeID="_x0000_s1026" DrawAspect="Content" ObjectID="_1610807603" r:id="rId6"/>
        </w:pict>
      </w:r>
    </w:p>
    <w:p w:rsidR="002779E6" w:rsidRDefault="002779E6" w:rsidP="002779E6">
      <w:pPr>
        <w:shd w:val="clear" w:color="auto" w:fill="FFFFFF"/>
        <w:spacing w:after="136" w:line="240" w:lineRule="auto"/>
        <w:jc w:val="right"/>
        <w:textAlignment w:val="baseline"/>
        <w:outlineLvl w:val="0"/>
        <w:rPr>
          <w:rFonts w:ascii="Arial" w:eastAsia="Times New Roman" w:hAnsi="Arial" w:cs="Arial"/>
          <w:noProof/>
          <w:color w:val="2E3192"/>
          <w:sz w:val="19"/>
          <w:szCs w:val="19"/>
          <w:bdr w:val="none" w:sz="0" w:space="0" w:color="auto" w:frame="1"/>
        </w:rPr>
      </w:pPr>
    </w:p>
    <w:p w:rsidR="002779E6" w:rsidRDefault="002779E6" w:rsidP="002779E6">
      <w:pPr>
        <w:shd w:val="clear" w:color="auto" w:fill="FFFFFF"/>
        <w:spacing w:after="136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</w:rPr>
      </w:pPr>
    </w:p>
    <w:p w:rsidR="002779E6" w:rsidRDefault="002779E6" w:rsidP="002779E6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</w:rPr>
      </w:pPr>
    </w:p>
    <w:p w:rsidR="002779E6" w:rsidRDefault="002779E6" w:rsidP="002779E6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</w:rPr>
        <w:t xml:space="preserve">                   Памятка туриста (навигация 2019)</w:t>
      </w:r>
    </w:p>
    <w:p w:rsidR="002779E6" w:rsidRDefault="002779E6" w:rsidP="002779E6">
      <w:pPr>
        <w:shd w:val="clear" w:color="auto" w:fill="FFFFFF"/>
        <w:spacing w:after="0" w:line="272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19"/>
        </w:rPr>
      </w:pPr>
      <w:r>
        <w:rPr>
          <w:rFonts w:ascii="Arial" w:eastAsia="Times New Roman" w:hAnsi="Arial" w:cs="Arial"/>
          <w:b/>
          <w:bCs/>
          <w:color w:val="333333"/>
          <w:sz w:val="19"/>
        </w:rPr>
        <w:t>Что следует знать при подготовке к путешествию на теплоходе:</w:t>
      </w:r>
    </w:p>
    <w:p w:rsidR="002779E6" w:rsidRDefault="002779E6" w:rsidP="002779E6">
      <w:pPr>
        <w:shd w:val="clear" w:color="auto" w:fill="FFFFFF"/>
        <w:spacing w:after="0" w:line="272" w:lineRule="atLeast"/>
        <w:ind w:left="136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1. Регистрация и посадка на борт заканчивается за 15 минут до объявленного времени отправления теплохода в рейс.</w:t>
      </w:r>
    </w:p>
    <w:p w:rsidR="002779E6" w:rsidRDefault="002779E6" w:rsidP="002779E6">
      <w:pPr>
        <w:shd w:val="clear" w:color="auto" w:fill="FFFFFF"/>
        <w:spacing w:after="0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2. Окончательное время отправления теплохода нужно уточнить за несколько дней до отправления в рейс у Вашего менеджера. В случае, если туристы приобретают круиз не из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города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в котором проживают, то мы рекомендуем приобретать железнодорожные и авиа билеты с запасом времени на случай непредвиденной задержки теплохода в пути и соответственно переносом времени отправления/прибытия.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3. 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, возникновения обстоятельств, препятствующих туристу воспользоваться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турпродуктом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>, турист обязан немедленно информировать о них Туроператора (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Турагента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>) для своевременного принятия необходимых мер.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4. Питание на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теплоходе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ежедневное, трехразовое, начиная со второго по предпоследний день тура. В день посадки/высадки питание предоставляется в зависимости от времени отправления/прибытия. Меню вывешивается ежедневно в салонах ресторана теплохода. Спиртные напитки, соки, воды и иная продукция баров и ресторанов, не входящая в стоимость тура, оплачивается за наличный расчет. 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>, если время проведения экскурсии совпадает со временем приема пищи, туристу выдается «сухой паек».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5. Для удобства туристов на борту судна предусмотрены одна смена  питания в ресторанах. Время питания, и рассадка по салонам ресторана может варьироваться в зависимости от теплохода, маршрута следования, количества туристов в рейсе. При покупке тура в офисе компании, ресторан и номер стола выбирается туристом при заключении договора. В некоторых случаях дирекция ресторана оставляет за собой право на изменения номера стола и ресторана.</w:t>
      </w:r>
    </w:p>
    <w:p w:rsidR="002779E6" w:rsidRDefault="002779E6" w:rsidP="002779E6">
      <w:pPr>
        <w:shd w:val="clear" w:color="auto" w:fill="FFFFFF"/>
        <w:spacing w:after="0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333333"/>
          <w:sz w:val="19"/>
        </w:rPr>
        <w:t>6. 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Экскурсионная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программа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предлагаемая в рейсе вывешивается на информационном стенде теплохода в первый день тура. В зависимости от программы тура  экскурсии подразделяются на пешеходные, автобусные и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авто-пешеходные</w:t>
      </w:r>
      <w:proofErr w:type="spellEnd"/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.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Компания уделяет большое внимание качеству сервиса, поэтому во всех городах выбирает лучшие и максимально комфортные автобусы из имеющихся в автопарке города.</w:t>
      </w:r>
      <w:proofErr w:type="gramEnd"/>
    </w:p>
    <w:p w:rsidR="002779E6" w:rsidRDefault="002779E6" w:rsidP="002779E6">
      <w:pPr>
        <w:shd w:val="clear" w:color="auto" w:fill="FFFFFF"/>
        <w:spacing w:after="0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333333"/>
          <w:sz w:val="19"/>
        </w:rPr>
        <w:t>В дополнение к основной программе туристу могут быть предложены индивидуальные экскурсии, которые оплачиваются отдельно по желанию туриста.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7. Турист должен соблюдать во время путешествия правила личной безопасности, требования транспортной безопасности и требования пропускного и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внутриобъектного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мероприятий; следить за своими личными вещами как на борту теплохода, так и во время экскурсий. Турист, мешающий своим поведением отдыху других туристов и (или) нарушающий порядок, может быть снят с борта теплохода в ближайшем порту без компенсации  не оказанных услуг и оплаты проезда до места проживания. Турист несет ответственность за нарушение действующих в РФ правил проезда и провоза багажа.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целях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обеспечения транспортной безопасности и выявления нарушителей, на выбранном для совершения тура теплоходе, ведётся видеонаблюдение.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8. 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выявления туристом в период тура недостатков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турпродукта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турист должен обратиться к представителю Туроператора на борту теплохода – Директору круиза -  в целях их устранения.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9. На борту теплохода принят свободный стиль одежды (шорты, майка, рубашка и т.п.). Для экскурсий в портах захода возьмите удобную обувь и одежду. На некоторые экскурсии (посещение церквей, монастырей и т.п.) не допускаются туристы в шортах, а для дам необходимы юбка и платок. Также рекомендуем взять теплые вещи в случае изменения погоды и для экскурсий в подземные пещеры.  Мы рекомендуем дамам взять с собой вечерние туалеты, а мужчинам – костюм и галстук, для капитанского ужина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>в круизах более 5 дней).</w:t>
      </w:r>
    </w:p>
    <w:p w:rsidR="002779E6" w:rsidRDefault="002779E6" w:rsidP="002779E6">
      <w:pPr>
        <w:shd w:val="clear" w:color="auto" w:fill="FFFFFF"/>
        <w:spacing w:after="0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10. В экстренных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случаях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на борту теплохода судовой медик бесплатно оказывает первую неотложную медицинскую помощь. 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продолжения рейса и отказа туриста от медицинского лечения в стационарном учреждении, вся ответственность за результаты принятого решения возлагается на туриста, и Компания не несет ответственности за последствия, вызванные заболеванием туриста, и не возмещает стоимость услуг, неиспользованных туристом вследствие заболевания. При необходимости госпитализации больного теплоход обязан сделать остановку  у ближайшего оборудованного для данного типа судна причала. Претензии других туристов по изменению расписания, вызванного такой остановкой, не принимаются.</w:t>
      </w:r>
      <w:r>
        <w:rPr>
          <w:rFonts w:ascii="Arial" w:eastAsia="Times New Roman" w:hAnsi="Arial" w:cs="Arial"/>
          <w:color w:val="333333"/>
          <w:sz w:val="19"/>
        </w:rPr>
        <w:t> </w:t>
      </w:r>
      <w:r>
        <w:rPr>
          <w:rFonts w:ascii="Arial" w:eastAsia="Times New Roman" w:hAnsi="Arial" w:cs="Arial"/>
          <w:b/>
          <w:bCs/>
          <w:color w:val="333333"/>
          <w:sz w:val="19"/>
        </w:rPr>
        <w:t>Все туристы должны иметь при себе документ удостоверяющий личность (паспорт/свидетельство о рождении и т.д.) и полис обязательного медицинского страхования. 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Лицам, нуждающимся в лечении и постоянном врачебном наблюдении, поездка на теплоходе не рекомендуется. Диетическое питание предусмотрено только на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теплоходах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>, работающих в статусе пансионата или санатория (статус теплохода уточнять при покупке тура). Теплоход, каюты, трапы, причалы не приспособлены для передвижения по ним лиц с нарушением функций опорно-двигательного аппарата. Если хроническое или инфекционное заболевание туриста угрожает здоровью других туристов или членов экипажа, и турист не сообщил о своем заболевании сотрудникам Туроператора при приобретении тура, то при выявлении такого заболевания он может быть снят с борта теплохода в ближайшем порту. При этом КОМПАНИЯ производит возврат уплаченной суммы за тур за вычетом фактически понесенных КОМПАНИЕЙ расходов, связанных с исполнением обязательств по настоящему Договору.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11. Капитан является единоначальником на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судне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>, поэтому все пассажиры обязаны подчиняться распоряжениям капитана в пределах его полномочий. На протяжении всего тура турист обязан подчиняться требованиям внутреннего распорядка, соблюдать правила безопасности и выполнять все распоряжения экипажа судна и Дирекции круиза.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12.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При общесудовой тревоге при пожаре в каюте или обнаружении его признаков на судне пассажир обязан не поддаваться панике, сообщить о факте задымления или возгорания экипажу судна, занять каюты согласно посадочным талонам, тепло одеться, надеть спасательный жилет  и неукоснительно выполнять указания, поступающие по радиотрансляционной сети от капитана судна (лица, его замещающего) и дирекции круиза.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В 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</w:rPr>
        <w:t>случае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перебоев в работе радиотрансляционной сети держать дверь каюты открытой и внимательно слушать  команды, подаваемые членами аварийно-спасательной группы.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13. Теплоход является транспортным средством повышенной опасности и турист обязуется не оставлять без присмотра взятых в путешествие детей, а также недееспособных родственников и полностью отвечает за их поведение и здоровье во время тура.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14. Во время стоянок в населенных пунктах теплоход может отходить от причала для выполнения технологических операций, о чем Дирекция круиза своевременно извещает туристов.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lastRenderedPageBreak/>
        <w:t>15. Турист должен сохранять окружающую природную среду, бережно относиться к памятникам природы, истории и культуры.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16. В стоимость тура не входят: экскурсии в городах следования, затраты, связанные с переездом до места начала тура и от места окончания тура, обслуживание во всех барах, посещение сауны, прокат туристского инвентаря и другие дополнительные услуги во время тура.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17. На борту теплохода запрещается: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перевозить животных и птиц;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пользоваться в каютах электроприборами (кроме фена, мощностью до 800 Вт, электробритвы и зарядных устройств);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курить в необорудованных для этого местах, в том числе в каютах и всех общественных помещениях (оборудованные места для курения предусмотрены на корме средней и/или шлюпочной палуб).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бросать окурки и мусор за борт теплохода;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мусорить, разжигать костры в местах «зеленых» стоянок.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 xml:space="preserve">бегать по трапам и палубам, сидеть на </w:t>
      </w:r>
      <w:proofErr w:type="gramStart"/>
      <w:r>
        <w:rPr>
          <w:rFonts w:ascii="Verdana" w:eastAsia="Times New Roman" w:hAnsi="Verdana" w:cs="Arial"/>
          <w:color w:val="333333"/>
          <w:sz w:val="19"/>
          <w:szCs w:val="19"/>
        </w:rPr>
        <w:t>перилах</w:t>
      </w:r>
      <w:proofErr w:type="gramEnd"/>
      <w:r>
        <w:rPr>
          <w:rFonts w:ascii="Verdana" w:eastAsia="Times New Roman" w:hAnsi="Verdana" w:cs="Arial"/>
          <w:color w:val="333333"/>
          <w:sz w:val="19"/>
          <w:szCs w:val="19"/>
        </w:rPr>
        <w:t xml:space="preserve"> и ограждениях, перевешиваться через поручни ограждения палубы;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подавать ложные крики о помощи;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кормить чаек с палуб теплохода, купаться с борта судна;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прыгать в воду, перевозить в помещениях судна предметы, имеющие габаритные размеры свыше 150х100х50 см.;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входить и находиться в служебных помещениях, имеющих таблички «Вход воспрещен» и в местах, где расположены судовые устройства и механизмы;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оставлять при уходе из каюты включенными электронагревательные и осветительные приборы, открытыми окна и двери;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подниматься на мачты, залезать в шлюпки, использовать судовой колокол, снимать без необходимости спасательные круги;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находиться на верхней палубе судна перед окнами ходовой рубки;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proofErr w:type="gramStart"/>
      <w:r>
        <w:rPr>
          <w:rFonts w:ascii="Verdana" w:eastAsia="Times New Roman" w:hAnsi="Verdana" w:cs="Arial"/>
          <w:color w:val="333333"/>
          <w:sz w:val="19"/>
          <w:szCs w:val="19"/>
        </w:rPr>
        <w:t>использовать огневые и пиротехнические средства на судне (факелы, петарды, фейерверки, бенгальские огни, звуковые и огневые ракеты, ароматические свечи и т.п.);</w:t>
      </w:r>
      <w:proofErr w:type="gramEnd"/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самостоятельно включать, выключать свет в пассажирских салонах общего пользования или изменять интенсивность освещения. Для этого пассажирам следует обращаться к представителю экипажа или дирекции круиза или экипажу теплохода;</w:t>
      </w:r>
    </w:p>
    <w:p w:rsidR="002779E6" w:rsidRDefault="002779E6" w:rsidP="002779E6">
      <w:pPr>
        <w:numPr>
          <w:ilvl w:val="0"/>
          <w:numId w:val="1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прикреплять любые материалы, в том числе материалы рекламного характера, в судовых помещениях к стенам, потолку и полу без предварительного согласования с официальными представителями Компании.</w:t>
      </w:r>
    </w:p>
    <w:p w:rsidR="002779E6" w:rsidRDefault="002779E6" w:rsidP="002779E6">
      <w:pPr>
        <w:shd w:val="clear" w:color="auto" w:fill="FFFFFF"/>
        <w:spacing w:after="204" w:line="272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18. Запрещается проносить на борт теплохода:</w:t>
      </w:r>
    </w:p>
    <w:p w:rsidR="002779E6" w:rsidRDefault="002779E6" w:rsidP="002779E6">
      <w:pPr>
        <w:numPr>
          <w:ilvl w:val="0"/>
          <w:numId w:val="2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холодное, огнестрельное,  газовое оружие и боеприпасы к ним, средства самообороны и электрошоковые устройства;</w:t>
      </w:r>
    </w:p>
    <w:p w:rsidR="002779E6" w:rsidRDefault="002779E6" w:rsidP="002779E6">
      <w:pPr>
        <w:numPr>
          <w:ilvl w:val="0"/>
          <w:numId w:val="2"/>
        </w:numPr>
        <w:shd w:val="clear" w:color="auto" w:fill="FFFFFF"/>
        <w:spacing w:after="68"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взрывчатые (взрывоопасные), радиоактивные, отравляющие, ядовитые, легковоспламеняющиеся, химически активные и сильно пахнущие предметы и вещества;</w:t>
      </w:r>
    </w:p>
    <w:p w:rsidR="002779E6" w:rsidRDefault="002779E6" w:rsidP="002779E6">
      <w:pPr>
        <w:numPr>
          <w:ilvl w:val="0"/>
          <w:numId w:val="2"/>
        </w:numPr>
        <w:shd w:val="clear" w:color="auto" w:fill="FFFFFF"/>
        <w:spacing w:line="285" w:lineRule="atLeast"/>
        <w:ind w:left="340"/>
        <w:textAlignment w:val="baseline"/>
        <w:rPr>
          <w:rFonts w:ascii="Verdana" w:eastAsia="Times New Roman" w:hAnsi="Verdana" w:cs="Arial"/>
          <w:color w:val="333333"/>
          <w:sz w:val="19"/>
          <w:szCs w:val="19"/>
        </w:rPr>
      </w:pPr>
      <w:r>
        <w:rPr>
          <w:rFonts w:ascii="Verdana" w:eastAsia="Times New Roman" w:hAnsi="Verdana" w:cs="Arial"/>
          <w:color w:val="333333"/>
          <w:sz w:val="19"/>
          <w:szCs w:val="19"/>
        </w:rPr>
        <w:t>наркотические, психотропные вещества и одурманивающие смеси.</w:t>
      </w:r>
    </w:p>
    <w:p w:rsidR="002779E6" w:rsidRDefault="002779E6" w:rsidP="002779E6"/>
    <w:p w:rsidR="00D6573A" w:rsidRDefault="00D6573A"/>
    <w:sectPr w:rsidR="00D6573A" w:rsidSect="00F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BEE"/>
    <w:multiLevelType w:val="multilevel"/>
    <w:tmpl w:val="2E0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95B38"/>
    <w:multiLevelType w:val="multilevel"/>
    <w:tmpl w:val="683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E6"/>
    <w:rsid w:val="002779E6"/>
    <w:rsid w:val="00B0642E"/>
    <w:rsid w:val="00D6573A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2019-02-04T12:46:00Z</dcterms:created>
  <dcterms:modified xsi:type="dcterms:W3CDTF">2019-02-04T12:47:00Z</dcterms:modified>
</cp:coreProperties>
</file>